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55D7" w14:textId="0FA6CA9E" w:rsidR="00197478" w:rsidRPr="00944D9E" w:rsidRDefault="00197478" w:rsidP="00197478">
      <w:pPr>
        <w:tabs>
          <w:tab w:val="left" w:pos="284"/>
        </w:tabs>
        <w:spacing w:after="0" w:line="360" w:lineRule="auto"/>
        <w:contextualSpacing/>
        <w:jc w:val="right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944D9E">
        <w:rPr>
          <w:rFonts w:ascii="ApparatSemiCond" w:hAnsi="ApparatSemiCond" w:cs="Times New Roman"/>
          <w:noProof/>
          <w:color w:val="000000" w:themeColor="text1"/>
          <w:sz w:val="24"/>
          <w:szCs w:val="24"/>
          <w14:ligatures w14:val="standardContextual"/>
        </w:rPr>
        <w:drawing>
          <wp:inline distT="0" distB="0" distL="0" distR="0" wp14:anchorId="0CB7CB92" wp14:editId="33FBA145">
            <wp:extent cx="1264920" cy="626436"/>
            <wp:effectExtent l="0" t="0" r="5080" b="0"/>
            <wp:docPr id="12555302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30216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626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897F5" w14:textId="77777777" w:rsidR="00197478" w:rsidRPr="00944D9E" w:rsidRDefault="00197478" w:rsidP="00E91DE6">
      <w:pPr>
        <w:tabs>
          <w:tab w:val="left" w:pos="284"/>
        </w:tabs>
        <w:spacing w:after="0" w:line="360" w:lineRule="auto"/>
        <w:contextualSpacing/>
        <w:jc w:val="both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63111C8A" w14:textId="5F2B2C78" w:rsidR="00C426A4" w:rsidRDefault="00CD5F80" w:rsidP="00C426A4">
      <w:pPr>
        <w:tabs>
          <w:tab w:val="left" w:pos="284"/>
        </w:tabs>
        <w:spacing w:after="0" w:line="360" w:lineRule="auto"/>
        <w:contextualSpacing/>
        <w:jc w:val="both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>dr hab. Magdalena Szafranek</w:t>
      </w:r>
      <w:r w:rsidR="000841C2"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>, prof. UW</w:t>
      </w:r>
    </w:p>
    <w:p w14:paraId="1D461A8B" w14:textId="77777777" w:rsidR="0061128B" w:rsidRPr="0061128B" w:rsidRDefault="0061128B" w:rsidP="0061128B">
      <w:pPr>
        <w:shd w:val="clear" w:color="auto" w:fill="FFFFFF"/>
        <w:spacing w:after="0" w:line="450" w:lineRule="atLeas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color w:val="000000" w:themeColor="text1"/>
          <w:sz w:val="24"/>
          <w:szCs w:val="24"/>
        </w:rPr>
        <w:t>Uniwersytet Warszawski</w:t>
      </w:r>
    </w:p>
    <w:p w14:paraId="25750E81" w14:textId="77777777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005DFC6C" w14:textId="4D1E9F6E" w:rsidR="0061128B" w:rsidRPr="0061128B" w:rsidRDefault="0061128B" w:rsidP="00F60935">
      <w:pPr>
        <w:shd w:val="clear" w:color="auto" w:fill="FFFFFF"/>
        <w:spacing w:after="0" w:line="450" w:lineRule="atLeast"/>
        <w:jc w:val="center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61128B">
        <w:rPr>
          <w:rFonts w:ascii="ApparatSemiCond" w:hAnsi="ApparatSemiCond" w:cs="Times New Roman"/>
          <w:b/>
          <w:bCs/>
          <w:color w:val="000000" w:themeColor="text1"/>
          <w:sz w:val="24"/>
          <w:szCs w:val="24"/>
        </w:rPr>
        <w:t xml:space="preserve">Przemoc wobec </w:t>
      </w:r>
      <w:r w:rsidR="00261654">
        <w:rPr>
          <w:rFonts w:ascii="ApparatSemiCond" w:hAnsi="ApparatSemiCond" w:cs="Times New Roman"/>
          <w:b/>
          <w:bCs/>
          <w:color w:val="000000" w:themeColor="text1"/>
          <w:sz w:val="24"/>
          <w:szCs w:val="24"/>
        </w:rPr>
        <w:t xml:space="preserve">osób </w:t>
      </w:r>
      <w:r w:rsidR="00AC1BF1" w:rsidRPr="00AC1BF1">
        <w:rPr>
          <w:rFonts w:ascii="ApparatSemiCond" w:hAnsi="ApparatSemiCond" w:cs="Times New Roman"/>
          <w:b/>
          <w:bCs/>
          <w:color w:val="000000" w:themeColor="text1"/>
          <w:sz w:val="24"/>
          <w:szCs w:val="24"/>
        </w:rPr>
        <w:t>nieneurotypowych</w:t>
      </w:r>
    </w:p>
    <w:p w14:paraId="30A97D06" w14:textId="77777777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2234BA5C" w14:textId="00E7C094" w:rsidR="00332AF1" w:rsidRPr="00332AF1" w:rsidRDefault="00332AF1" w:rsidP="00332AF1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Neuroatypowość lub nieneurotypowość to terminy określające osoby, których mózg funkcjonuje inaczej niż przeciętnie. Osoby neuroatypowe mogą mieć trudności z</w:t>
      </w:r>
      <w:r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rozumieniem i reagowaniem na bodźce sensoryczne, trudności z komunikacją i</w:t>
      </w:r>
      <w:r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nawiązywaniem relacji z innymi, trudności z koncentracją i wykonywaniem zadań. Neuroatypowość to szerokie pojęcie, które obejmuje wiele różnych zaburzeń i stanów. Osoby neuroatypowe mogą doświadczać stanów i przeżyć utrudniających im funkcjonowanie w</w:t>
      </w:r>
      <w:r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codziennym życiu. Do neuroatypowości można zaliczać między innymi autyzm, ADHD, zespół Tourette’a, zespół Aspergera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1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, zaburzenia integracji sensorycznej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.</w:t>
      </w:r>
    </w:p>
    <w:p w14:paraId="5BDE260D" w14:textId="3910E991" w:rsidR="00332AF1" w:rsidRPr="00332AF1" w:rsidRDefault="00332AF1" w:rsidP="00332AF1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Już w jednym z pierwszym badań nad związkiem niepełnosprawności z</w:t>
      </w:r>
      <w:r w:rsidR="00133765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doświadczaniem przemocy stwierdzono, że dzieci z zaburzeniami rozwoju są krzywdzone 1,7 razy częściej niż dzieci rozwijające się prawidłowo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3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. Jednak nowsze badania wskazują, że zjawisko to jest znacznie częstsze, a niepełnosprawność stanowi czynnik ryzyka dla doświadczania przemocy. To z kolei może odgrywać istotną rolę w powstawaniu zaburzeń zachowania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4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. Dlaczego tak się dzieje? Otóż pozornie brak stygmatów w wyglądzie może korzystnie wpływać na doświadczenia osób z zaburzeniami rozwoju, płynące z kontaktów społecznych. W rzeczywistości jednak wiążą się z nim nadmierne oczekiwania otoczenia, całkowite niezrozumienie problemów, a nawet zupełne ich negowanie. W szczególnie trudnej sytuacji mogą się znajdować wysoko funkcjonujące osoby w spektrum autyzmu</w:t>
      </w:r>
      <w:r w:rsidR="00133765">
        <w:rPr>
          <w:rFonts w:ascii="ApparatSemiCond" w:hAnsi="ApparatSemiCond" w:cs="Times New Roman"/>
          <w:color w:val="000000" w:themeColor="text1"/>
          <w:sz w:val="24"/>
          <w:szCs w:val="24"/>
        </w:rPr>
        <w:t>,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w tym osoby 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lastRenderedPageBreak/>
        <w:t>z zespołem Aspergera. Z uwagi na specyficzny i całościowy charakter trudności rozwojowych, autyzm należy z pewnością do zaburzeń, w odniesieniu do których ryzyko doświadczania przemocy lub zaniedbania jest szczególnie duże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5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. Jak pisze E. Pisula: „Dzieci z autyzmem są w</w:t>
      </w:r>
      <w:r w:rsidR="00AC6F14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szczególny sposób narażone na przemoc i zaniedbanie. Zakres ich trudności w</w:t>
      </w:r>
      <w:r w:rsidR="00AC6F14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porozumiewaniu się, problemy z tworzeniem relacji społecznych oraz rozumieniem intencji i przyczyn zachowania innych ludzi znacznie ograniczają możliwości uniknięcia traumatycznych przeżyć.”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6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Jakiego rodzaju przemocy doświadczają osoby neuratypowe? Można do nich zaliczyć np. stosowanie fizycznych ograniczeń, naruszanie potrzeby prywatności i intymności, stosowanie niesprawdzonych metod terapii, ograniczanie kontaktów społecznych, dyskryminację w różnych sytuacjach społecznych.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7"/>
      </w:r>
    </w:p>
    <w:p w14:paraId="74669743" w14:textId="1F4E9349" w:rsidR="00332AF1" w:rsidRPr="00332AF1" w:rsidRDefault="00332AF1" w:rsidP="00332AF1">
      <w:pPr>
        <w:shd w:val="clear" w:color="auto" w:fill="FFFFFF"/>
        <w:spacing w:after="0" w:line="450" w:lineRule="atLeast"/>
        <w:ind w:firstLine="708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Badania C. M. Kerns i jej zespołu pozwoliły zidentyfikować źródła traumy z</w:t>
      </w:r>
      <w:r w:rsidR="00AC6F14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perspektywy osób z autyzmem w różnym wieku oraz ich opiekunów. Wyniki pozwoliły ustalić szerszy zakres traumatycznych stresorów doświadczanych przez osoby autystyczne oraz dostarczyły danych, pozwalających lepiej zrozumieć zależność pomiędzy cechami wynikającymi z autyzmu a podatnością na traumatyczne zranienia. Są to np. bariery komunikacyjne, naiwność społeczna i pragnienie akceptacji społecznej (które zwiększają podatność dziecka na manipulację) oraz wrażliwość na bodźce sensoryczne i nowe doświadczenia. Z kolei kluczowym źródłami traumy okazały się: wykluczenie społeczne i</w:t>
      </w:r>
      <w:r w:rsidR="00AC6F14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marginalizacja, a także różne formy społecznego uwięzienia; wszystkie te doświadczenia wiązano z negatywnymi skutkami psychologicznymi i fizycznymi. Wymieniano również doświadczenia będące wynikiem niedopasowania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8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. Z kolei inne badania wskazują, że w</w:t>
      </w:r>
      <w:r w:rsidR="00AC6F14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>podgrupie osób z autyzmem istnieje o wiele większe narażenie na niekorzystne doświadczenia z dzieciństwa, uważane za źródło traumatycznego stresu niż w reszcie populacji. Innymi słowy – dzieci autystyczne doświadczają tych przeciwności więcej oraz częściej niż nieautystyczne dzieci należące do tej samej populacji.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  <w:vertAlign w:val="superscript"/>
        </w:rPr>
        <w:footnoteReference w:id="9"/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 Wiedza na temat 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lastRenderedPageBreak/>
        <w:t>specyfiki neuroróżnorodności oraz rozpoznawanie potrzeb osób neurodywergentnych stanowią wyzwanie. Nie budzi jednak wątpliwości, że jest to droga do zapewnienia im akceptacji i</w:t>
      </w:r>
      <w:r w:rsidR="00EA4A87">
        <w:rPr>
          <w:rFonts w:ascii="ApparatSemiCond" w:hAnsi="ApparatSemiCond" w:cs="Times New Roman"/>
          <w:color w:val="000000" w:themeColor="text1"/>
          <w:sz w:val="24"/>
          <w:szCs w:val="24"/>
        </w:rPr>
        <w:t> </w:t>
      </w:r>
      <w:r w:rsidRPr="00332AF1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ochrony przed przemocą.  </w:t>
      </w:r>
    </w:p>
    <w:p w14:paraId="1EC5DDAD" w14:textId="77777777" w:rsidR="00332AF1" w:rsidRPr="00332AF1" w:rsidRDefault="00332AF1" w:rsidP="00332AF1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6AF303DC" w14:textId="77777777" w:rsidR="0061128B" w:rsidRPr="0061128B" w:rsidRDefault="0061128B" w:rsidP="0061128B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277FC67C" w14:textId="781BF4EC" w:rsidR="00C426A4" w:rsidRPr="00944D9E" w:rsidRDefault="00C426A4" w:rsidP="00C426A4">
      <w:pPr>
        <w:shd w:val="clear" w:color="auto" w:fill="FFFFFF"/>
        <w:spacing w:after="0" w:line="450" w:lineRule="atLeast"/>
        <w:ind w:firstLine="708"/>
        <w:jc w:val="right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  <w:r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dr hab. Magdalena Szafranek, </w:t>
      </w:r>
      <w:r w:rsidR="00B61A73"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 xml:space="preserve">prof. </w:t>
      </w:r>
      <w:r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>U</w:t>
      </w:r>
      <w:r w:rsidR="00B61A73" w:rsidRPr="00944D9E">
        <w:rPr>
          <w:rFonts w:ascii="ApparatSemiCond" w:hAnsi="ApparatSemiCond" w:cs="Times New Roman"/>
          <w:color w:val="000000" w:themeColor="text1"/>
          <w:sz w:val="24"/>
          <w:szCs w:val="24"/>
        </w:rPr>
        <w:t>W</w:t>
      </w:r>
    </w:p>
    <w:p w14:paraId="495764BB" w14:textId="77777777" w:rsidR="00C426A4" w:rsidRPr="00944D9E" w:rsidRDefault="00C426A4" w:rsidP="00C426A4">
      <w:pPr>
        <w:shd w:val="clear" w:color="auto" w:fill="FFFFFF"/>
        <w:spacing w:after="0" w:line="450" w:lineRule="atLeast"/>
        <w:jc w:val="both"/>
        <w:textAlignment w:val="baseline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p w14:paraId="49C7BA6C" w14:textId="082302A3" w:rsidR="007F78F8" w:rsidRPr="00944D9E" w:rsidRDefault="007F78F8" w:rsidP="00E91DE6">
      <w:pPr>
        <w:autoSpaceDE w:val="0"/>
        <w:autoSpaceDN w:val="0"/>
        <w:adjustRightInd w:val="0"/>
        <w:spacing w:after="0" w:line="360" w:lineRule="auto"/>
        <w:ind w:firstLine="284"/>
        <w:contextualSpacing/>
        <w:jc w:val="both"/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</w:pPr>
      <w:r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 xml:space="preserve">Tekst powstał w ramach bezpłatnej ogólnopolskiej kampanii edukacyjnej „Przeciwdziałanie przemocy domowej” realizowanej w </w:t>
      </w:r>
      <w:r w:rsidR="006D06AC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>sezonie</w:t>
      </w:r>
      <w:r w:rsidR="000544B4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>202</w:t>
      </w:r>
      <w:r w:rsidR="00B61A73"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>5</w:t>
      </w:r>
      <w:r w:rsidR="000544B4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>/2026</w:t>
      </w:r>
      <w:r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 xml:space="preserve"> przez Fundację Instytut Nowej Kultur</w:t>
      </w:r>
      <w:r w:rsidR="00197478" w:rsidRPr="00944D9E">
        <w:rPr>
          <w:rFonts w:ascii="ApparatSemiCond" w:eastAsiaTheme="minorHAnsi" w:hAnsi="ApparatSemiCond" w:cs="Times New Roman"/>
          <w:i/>
          <w:iCs/>
          <w:color w:val="000000" w:themeColor="text1"/>
          <w:sz w:val="24"/>
          <w:szCs w:val="24"/>
          <w:lang w:eastAsia="en-US"/>
        </w:rPr>
        <w:t xml:space="preserve">y, </w:t>
      </w:r>
      <w:hyperlink r:id="rId12" w:history="1">
        <w:r w:rsidR="00197478" w:rsidRPr="00944D9E">
          <w:rPr>
            <w:rStyle w:val="Hipercze"/>
            <w:rFonts w:ascii="ApparatSemiCond" w:eastAsiaTheme="minorHAnsi" w:hAnsi="ApparatSemiCond" w:cs="Times New Roman"/>
            <w:i/>
            <w:iCs/>
            <w:color w:val="000000" w:themeColor="text1"/>
            <w:sz w:val="24"/>
            <w:szCs w:val="24"/>
            <w:lang w:eastAsia="en-US"/>
          </w:rPr>
          <w:t>www.instytutnowejkultury.pl</w:t>
        </w:r>
      </w:hyperlink>
    </w:p>
    <w:p w14:paraId="0DE7A3B7" w14:textId="77777777" w:rsidR="00091CD2" w:rsidRPr="00944D9E" w:rsidRDefault="00091CD2" w:rsidP="00E91DE6">
      <w:pPr>
        <w:spacing w:after="0"/>
        <w:rPr>
          <w:rFonts w:ascii="ApparatSemiCond" w:hAnsi="ApparatSemiCond" w:cs="Times New Roman"/>
          <w:color w:val="000000" w:themeColor="text1"/>
          <w:sz w:val="24"/>
          <w:szCs w:val="24"/>
        </w:rPr>
      </w:pPr>
    </w:p>
    <w:sectPr w:rsidR="00091CD2" w:rsidRPr="00944D9E" w:rsidSect="00197478">
      <w:pgSz w:w="11906" w:h="16838"/>
      <w:pgMar w:top="6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6E02" w14:textId="77777777" w:rsidR="00FA629F" w:rsidRDefault="00FA629F" w:rsidP="00CD5F80">
      <w:pPr>
        <w:spacing w:after="0" w:line="240" w:lineRule="auto"/>
      </w:pPr>
      <w:r>
        <w:separator/>
      </w:r>
    </w:p>
  </w:endnote>
  <w:endnote w:type="continuationSeparator" w:id="0">
    <w:p w14:paraId="55C1B84A" w14:textId="77777777" w:rsidR="00FA629F" w:rsidRDefault="00FA629F" w:rsidP="00CD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aratSemiCond">
    <w:altName w:val="Calibri"/>
    <w:panose1 w:val="00000000000000000000"/>
    <w:charset w:val="00"/>
    <w:family w:val="auto"/>
    <w:notTrueType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964A" w14:textId="77777777" w:rsidR="00FA629F" w:rsidRDefault="00FA629F" w:rsidP="00CD5F80">
      <w:pPr>
        <w:spacing w:after="0" w:line="240" w:lineRule="auto"/>
      </w:pPr>
      <w:r>
        <w:separator/>
      </w:r>
    </w:p>
  </w:footnote>
  <w:footnote w:type="continuationSeparator" w:id="0">
    <w:p w14:paraId="3F03EA94" w14:textId="77777777" w:rsidR="00FA629F" w:rsidRDefault="00FA629F" w:rsidP="00CD5F80">
      <w:pPr>
        <w:spacing w:after="0" w:line="240" w:lineRule="auto"/>
      </w:pPr>
      <w:r>
        <w:continuationSeparator/>
      </w:r>
    </w:p>
  </w:footnote>
  <w:footnote w:id="1">
    <w:p w14:paraId="27D604C0" w14:textId="77777777" w:rsidR="00332AF1" w:rsidRPr="00332AF1" w:rsidRDefault="00332AF1" w:rsidP="00F60935">
      <w:pPr>
        <w:pStyle w:val="Tekstprzypisudolnego"/>
        <w:rPr>
          <w:rFonts w:ascii="ApparatSemiCond" w:hAnsi="ApparatSemiCond"/>
        </w:rPr>
      </w:pPr>
      <w:r w:rsidRPr="001E16C6">
        <w:rPr>
          <w:rStyle w:val="Odwoanieprzypisudolnego"/>
          <w:rFonts w:ascii="Times New Roman" w:hAnsi="Times New Roman"/>
        </w:rPr>
        <w:footnoteRef/>
      </w:r>
      <w:r w:rsidRPr="001E16C6">
        <w:rPr>
          <w:rFonts w:ascii="Times New Roman" w:hAnsi="Times New Roman"/>
        </w:rPr>
        <w:t xml:space="preserve"> </w:t>
      </w:r>
      <w:r w:rsidRPr="00332AF1">
        <w:rPr>
          <w:rFonts w:ascii="ApparatSemiCond" w:hAnsi="ApparatSemiCond"/>
        </w:rPr>
        <w:t>Zgodnie z ICD-11, która jest najnowszą wersją klasyfikacji chorób opracowaną przez Światową Organizację Zdrowia w 2022 r. wszystkie formy autyzmu zostały zintegrowane w jedną kategorię. Eliminacja odrębnych diagnoz, takich jak zespół Aspergera, upraszcza system i lepiej odzwierciedla kontinuum objawów</w:t>
      </w:r>
    </w:p>
  </w:footnote>
  <w:footnote w:id="2">
    <w:p w14:paraId="5880F77D" w14:textId="77777777" w:rsidR="00332AF1" w:rsidRPr="00332AF1" w:rsidRDefault="00332AF1" w:rsidP="00F60935">
      <w:pPr>
        <w:pStyle w:val="Tekstprzypisudolnego"/>
        <w:rPr>
          <w:rFonts w:ascii="ApparatSemiCond" w:hAnsi="ApparatSemiCond"/>
        </w:rPr>
      </w:pPr>
      <w:r w:rsidRPr="00332AF1">
        <w:rPr>
          <w:rStyle w:val="Odwoanieprzypisudolnego"/>
          <w:rFonts w:ascii="ApparatSemiCond" w:hAnsi="ApparatSemiCond"/>
        </w:rPr>
        <w:footnoteRef/>
      </w:r>
      <w:r w:rsidRPr="00332AF1">
        <w:rPr>
          <w:rFonts w:ascii="ApparatSemiCond" w:hAnsi="ApparatSemiCond"/>
          <w:i/>
          <w:iCs/>
        </w:rPr>
        <w:t>Neuroatypowość – czym jest i jak ją rozpoznać?,</w:t>
      </w:r>
      <w:r w:rsidRPr="00332AF1">
        <w:rPr>
          <w:rFonts w:ascii="ApparatSemiCond" w:hAnsi="ApparatSemiCond"/>
        </w:rPr>
        <w:t xml:space="preserve"> artykuł dostępny pod adresem: </w:t>
      </w:r>
      <w:hyperlink r:id="rId1" w:history="1">
        <w:r w:rsidRPr="00332AF1">
          <w:rPr>
            <w:rStyle w:val="Hipercze"/>
            <w:rFonts w:ascii="ApparatSemiCond" w:hAnsi="ApparatSemiCond"/>
          </w:rPr>
          <w:t>www.medicta.pl/choroby/neuroatypowosc-czym-jest-i-jak-ja-rozpoznac/</w:t>
        </w:r>
      </w:hyperlink>
      <w:r w:rsidRPr="00332AF1">
        <w:rPr>
          <w:rFonts w:ascii="ApparatSemiCond" w:hAnsi="ApparatSemiCond"/>
        </w:rPr>
        <w:t xml:space="preserve"> (data wejścia: 07.03.2-25) </w:t>
      </w:r>
    </w:p>
  </w:footnote>
  <w:footnote w:id="3">
    <w:p w14:paraId="66A36A06" w14:textId="77777777" w:rsidR="00332AF1" w:rsidRPr="00332AF1" w:rsidRDefault="00332AF1" w:rsidP="00F60935">
      <w:pPr>
        <w:pStyle w:val="Tekstprzypisudolnego"/>
        <w:rPr>
          <w:rFonts w:ascii="ApparatSemiCond" w:hAnsi="ApparatSemiCond"/>
          <w:lang w:val="en-US"/>
        </w:rPr>
      </w:pPr>
      <w:r w:rsidRPr="00332AF1">
        <w:rPr>
          <w:rStyle w:val="Odwoanieprzypisudolnego"/>
          <w:rFonts w:ascii="ApparatSemiCond" w:hAnsi="ApparatSemiCond"/>
        </w:rPr>
        <w:footnoteRef/>
      </w:r>
      <w:r w:rsidRPr="00332AF1">
        <w:rPr>
          <w:rFonts w:ascii="ApparatSemiCond" w:hAnsi="ApparatSemiCond"/>
          <w:lang w:val="en-US"/>
        </w:rPr>
        <w:t xml:space="preserve"> Westat Inc.: </w:t>
      </w:r>
      <w:r w:rsidRPr="00332AF1">
        <w:rPr>
          <w:rFonts w:ascii="ApparatSemiCond" w:hAnsi="ApparatSemiCond"/>
          <w:i/>
          <w:iCs/>
          <w:lang w:val="en-US"/>
        </w:rPr>
        <w:t>A report on the maltreatment of children with disabilities</w:t>
      </w:r>
      <w:r w:rsidRPr="00332AF1">
        <w:rPr>
          <w:rFonts w:ascii="ApparatSemiCond" w:hAnsi="ApparatSemiCond"/>
          <w:lang w:val="en-US"/>
        </w:rPr>
        <w:t>, Washington, DC, National Center on Child Abuse &amp; Neglect, 1993.</w:t>
      </w:r>
    </w:p>
  </w:footnote>
  <w:footnote w:id="4">
    <w:p w14:paraId="26274C70" w14:textId="77777777" w:rsidR="00332AF1" w:rsidRPr="00332AF1" w:rsidRDefault="00332AF1" w:rsidP="00F60935">
      <w:pPr>
        <w:pStyle w:val="Tekstprzypisudolnego"/>
        <w:rPr>
          <w:rFonts w:ascii="ApparatSemiCond" w:hAnsi="ApparatSemiCond"/>
          <w:lang w:val="en-US"/>
        </w:rPr>
      </w:pPr>
      <w:r w:rsidRPr="00332AF1">
        <w:rPr>
          <w:rStyle w:val="Odwoanieprzypisudolnego"/>
          <w:rFonts w:ascii="ApparatSemiCond" w:hAnsi="ApparatSemiCond"/>
        </w:rPr>
        <w:footnoteRef/>
      </w:r>
      <w:r w:rsidRPr="00332AF1">
        <w:rPr>
          <w:rFonts w:ascii="ApparatSemiCond" w:hAnsi="ApparatSemiCond"/>
          <w:lang w:val="en-US"/>
        </w:rPr>
        <w:t xml:space="preserve"> Sullivan P.M., Knutson J.F.: </w:t>
      </w:r>
      <w:r w:rsidRPr="00332AF1">
        <w:rPr>
          <w:rFonts w:ascii="ApparatSemiCond" w:hAnsi="ApparatSemiCond"/>
          <w:i/>
          <w:iCs/>
          <w:lang w:val="en-US"/>
        </w:rPr>
        <w:t>Maltreatment and disabilities: a population based epidemiological study</w:t>
      </w:r>
      <w:r w:rsidRPr="00332AF1">
        <w:rPr>
          <w:rFonts w:ascii="ApparatSemiCond" w:hAnsi="ApparatSemiCond"/>
          <w:lang w:val="en-US"/>
        </w:rPr>
        <w:t>, [in:] „Child Abuse &amp; Neglect” 2000, vol. 24, s. 1257–1273.</w:t>
      </w:r>
    </w:p>
  </w:footnote>
  <w:footnote w:id="5">
    <w:p w14:paraId="4CAC1983" w14:textId="77777777" w:rsidR="00332AF1" w:rsidRPr="00332AF1" w:rsidRDefault="00332AF1" w:rsidP="00F60935">
      <w:pPr>
        <w:pStyle w:val="Tekstprzypisudolnego"/>
        <w:rPr>
          <w:rFonts w:ascii="ApparatSemiCond" w:hAnsi="ApparatSemiCond"/>
        </w:rPr>
      </w:pPr>
      <w:r w:rsidRPr="00D01292">
        <w:rPr>
          <w:rStyle w:val="Odwoanieprzypisudolnego"/>
          <w:rFonts w:ascii="Times New Roman" w:hAnsi="Times New Roman"/>
        </w:rPr>
        <w:footnoteRef/>
      </w:r>
      <w:r w:rsidRPr="00D01292">
        <w:rPr>
          <w:rFonts w:ascii="Times New Roman" w:hAnsi="Times New Roman"/>
        </w:rPr>
        <w:t xml:space="preserve"> </w:t>
      </w:r>
      <w:r w:rsidRPr="00332AF1">
        <w:rPr>
          <w:rFonts w:ascii="ApparatSemiCond" w:hAnsi="ApparatSemiCond"/>
        </w:rPr>
        <w:t xml:space="preserve">Pisula E.: </w:t>
      </w:r>
      <w:r w:rsidRPr="00332AF1">
        <w:rPr>
          <w:rFonts w:ascii="ApparatSemiCond" w:hAnsi="ApparatSemiCond"/>
          <w:i/>
          <w:iCs/>
        </w:rPr>
        <w:t>Dziecko z autyzmem jako ofiara przemocy</w:t>
      </w:r>
      <w:r w:rsidRPr="00332AF1">
        <w:rPr>
          <w:rFonts w:ascii="ApparatSemiCond" w:hAnsi="ApparatSemiCond"/>
        </w:rPr>
        <w:t xml:space="preserve">, [w:] „Dziecko Krzywdzone. Teoria. Badania, Praktyka nr 1(22) 2008), s. 4. </w:t>
      </w:r>
    </w:p>
  </w:footnote>
  <w:footnote w:id="6">
    <w:p w14:paraId="015B929B" w14:textId="77777777" w:rsidR="00332AF1" w:rsidRPr="00332AF1" w:rsidRDefault="00332AF1" w:rsidP="00F60935">
      <w:pPr>
        <w:pStyle w:val="Tekstprzypisudolnego"/>
        <w:rPr>
          <w:rFonts w:ascii="ApparatSemiCond" w:hAnsi="ApparatSemiCond"/>
        </w:rPr>
      </w:pPr>
      <w:r w:rsidRPr="00332AF1">
        <w:rPr>
          <w:rStyle w:val="Odwoanieprzypisudolnego"/>
          <w:rFonts w:ascii="ApparatSemiCond" w:hAnsi="ApparatSemiCond"/>
        </w:rPr>
        <w:footnoteRef/>
      </w:r>
      <w:r w:rsidRPr="00332AF1">
        <w:rPr>
          <w:rFonts w:ascii="ApparatSemiCond" w:hAnsi="ApparatSemiCond"/>
        </w:rPr>
        <w:t xml:space="preserve"> Ibidem, s. 11.</w:t>
      </w:r>
    </w:p>
  </w:footnote>
  <w:footnote w:id="7">
    <w:p w14:paraId="3113F9E2" w14:textId="77777777" w:rsidR="00332AF1" w:rsidRPr="00332AF1" w:rsidRDefault="00332AF1" w:rsidP="00F60935">
      <w:pPr>
        <w:pStyle w:val="Tekstprzypisudolnego"/>
        <w:rPr>
          <w:rFonts w:ascii="ApparatSemiCond" w:hAnsi="ApparatSemiCond"/>
        </w:rPr>
      </w:pPr>
      <w:r w:rsidRPr="00332AF1">
        <w:rPr>
          <w:rStyle w:val="Odwoanieprzypisudolnego"/>
          <w:rFonts w:ascii="ApparatSemiCond" w:hAnsi="ApparatSemiCond"/>
        </w:rPr>
        <w:footnoteRef/>
      </w:r>
      <w:r w:rsidRPr="00332AF1">
        <w:rPr>
          <w:rFonts w:ascii="ApparatSemiCond" w:hAnsi="ApparatSemiCond"/>
        </w:rPr>
        <w:t xml:space="preserve"> Piekarska A. (2007), </w:t>
      </w:r>
      <w:r w:rsidRPr="00332AF1">
        <w:rPr>
          <w:rFonts w:ascii="ApparatSemiCond" w:hAnsi="ApparatSemiCond"/>
          <w:i/>
          <w:iCs/>
        </w:rPr>
        <w:t>Zagadnienia krzywdzenia dziecka z zaburzeniami rozwojowymi - rola ro dziny oraz innych środowisk społecznych</w:t>
      </w:r>
      <w:r w:rsidRPr="00332AF1">
        <w:rPr>
          <w:rFonts w:ascii="ApparatSemiCond" w:hAnsi="ApparatSemiCond"/>
        </w:rPr>
        <w:t xml:space="preserve">, [w: ] E. Pisula, D. Danielewicz (red.), </w:t>
      </w:r>
      <w:r w:rsidRPr="00332AF1">
        <w:rPr>
          <w:rFonts w:ascii="ApparatSemiCond" w:hAnsi="ApparatSemiCond"/>
          <w:i/>
          <w:iCs/>
        </w:rPr>
        <w:t>Rodzina z dzieckiem z niepełnosprawnością,</w:t>
      </w:r>
      <w:r w:rsidRPr="00332AF1">
        <w:rPr>
          <w:rFonts w:ascii="ApparatSemiCond" w:hAnsi="ApparatSemiCond"/>
        </w:rPr>
        <w:t xml:space="preserve"> Gdańsk: Wydawnictwo Harmonia, s. 145–156.</w:t>
      </w:r>
    </w:p>
  </w:footnote>
  <w:footnote w:id="8">
    <w:p w14:paraId="66662812" w14:textId="77777777" w:rsidR="00332AF1" w:rsidRPr="00332AF1" w:rsidRDefault="00332AF1" w:rsidP="00F60935">
      <w:pPr>
        <w:pStyle w:val="Tekstprzypisudolnego"/>
        <w:rPr>
          <w:rFonts w:ascii="ApparatSemiCond" w:hAnsi="ApparatSemiCond"/>
        </w:rPr>
      </w:pPr>
      <w:r w:rsidRPr="00332AF1">
        <w:rPr>
          <w:rStyle w:val="Odwoanieprzypisudolnego"/>
          <w:rFonts w:ascii="ApparatSemiCond" w:hAnsi="ApparatSemiCond"/>
        </w:rPr>
        <w:footnoteRef/>
      </w:r>
      <w:r w:rsidRPr="00332AF1">
        <w:rPr>
          <w:rFonts w:ascii="ApparatSemiCond" w:hAnsi="ApparatSemiCond"/>
        </w:rPr>
        <w:t xml:space="preserve"> Kerns, C.M., Lankenau, S., Shattuck, P.T., Robins, D.L., Newschaer, C.J., Berkowitz, S.J. (2022</w:t>
      </w:r>
      <w:r w:rsidRPr="00332AF1">
        <w:rPr>
          <w:rFonts w:ascii="ApparatSemiCond" w:hAnsi="ApparatSemiCond"/>
          <w:i/>
          <w:iCs/>
        </w:rPr>
        <w:t xml:space="preserve">). </w:t>
      </w:r>
      <w:r w:rsidRPr="00332AF1">
        <w:rPr>
          <w:rFonts w:ascii="ApparatSemiCond" w:hAnsi="ApparatSemiCond"/>
          <w:i/>
          <w:iCs/>
          <w:lang w:val="en-US"/>
        </w:rPr>
        <w:t>Exploring potential sources of childhood trauma: A qualitative study with autistic adults and caregivers</w:t>
      </w:r>
      <w:r w:rsidRPr="00332AF1">
        <w:rPr>
          <w:rFonts w:ascii="ApparatSemiCond" w:hAnsi="ApparatSemiCond"/>
          <w:lang w:val="en-US"/>
        </w:rPr>
        <w:t xml:space="preserve">. </w:t>
      </w:r>
      <w:r w:rsidRPr="00332AF1">
        <w:rPr>
          <w:rFonts w:ascii="ApparatSemiCond" w:hAnsi="ApparatSemiCond"/>
        </w:rPr>
        <w:t xml:space="preserve">Autism, 26(8), 1987–1998, [za:] Stefańska-Klar, R. (2024). </w:t>
      </w:r>
      <w:r w:rsidRPr="00332AF1">
        <w:rPr>
          <w:rFonts w:ascii="ApparatSemiCond" w:hAnsi="ApparatSemiCond"/>
          <w:i/>
          <w:iCs/>
        </w:rPr>
        <w:t>Autyzm a doświadczenia traumatyczne. Znaczenie, mechanizmy, konsekwencje</w:t>
      </w:r>
      <w:r w:rsidRPr="00332AF1">
        <w:rPr>
          <w:rFonts w:ascii="ApparatSemiCond" w:hAnsi="ApparatSemiCond"/>
        </w:rPr>
        <w:t xml:space="preserve">. [w:] G. Całek (red.), </w:t>
      </w:r>
      <w:r w:rsidRPr="00332AF1">
        <w:rPr>
          <w:rFonts w:ascii="ApparatSemiCond" w:hAnsi="ApparatSemiCond"/>
          <w:i/>
          <w:iCs/>
        </w:rPr>
        <w:t>Dziecko w spektrum autyzmu. Aktualne badania i refeksje naukowe</w:t>
      </w:r>
      <w:r w:rsidRPr="00332AF1">
        <w:rPr>
          <w:rFonts w:ascii="ApparatSemiCond" w:hAnsi="ApparatSemiCond"/>
        </w:rPr>
        <w:t xml:space="preserve"> (s. 79–105). Oficyna Wydawnicza „Impuls”.</w:t>
      </w:r>
    </w:p>
  </w:footnote>
  <w:footnote w:id="9">
    <w:p w14:paraId="781C1F21" w14:textId="77777777" w:rsidR="00332AF1" w:rsidRPr="00332AF1" w:rsidRDefault="00332AF1" w:rsidP="00F60935">
      <w:pPr>
        <w:pStyle w:val="Tekstprzypisudolnego"/>
        <w:rPr>
          <w:rFonts w:ascii="ApparatSemiCond" w:hAnsi="ApparatSemiCond"/>
        </w:rPr>
      </w:pPr>
      <w:r w:rsidRPr="00332AF1">
        <w:rPr>
          <w:rStyle w:val="Odwoanieprzypisudolnego"/>
          <w:rFonts w:ascii="ApparatSemiCond" w:hAnsi="ApparatSemiCond"/>
        </w:rPr>
        <w:footnoteRef/>
      </w:r>
      <w:r w:rsidRPr="00332AF1">
        <w:rPr>
          <w:rFonts w:ascii="ApparatSemiCond" w:hAnsi="ApparatSemiCond"/>
          <w:lang w:val="en-US"/>
        </w:rPr>
        <w:t xml:space="preserve"> Hoover, D.W., Kaufman, J. (2018). </w:t>
      </w:r>
      <w:r w:rsidRPr="00332AF1">
        <w:rPr>
          <w:rFonts w:ascii="ApparatSemiCond" w:hAnsi="ApparatSemiCond"/>
          <w:i/>
          <w:iCs/>
          <w:lang w:val="en-US"/>
        </w:rPr>
        <w:t>Adverse Childhood Experiences in Children with Autism Spectrum Disorder.</w:t>
      </w:r>
      <w:r w:rsidRPr="00332AF1">
        <w:rPr>
          <w:rFonts w:ascii="ApparatSemiCond" w:hAnsi="ApparatSemiCond"/>
          <w:lang w:val="en-US"/>
        </w:rPr>
        <w:t xml:space="preserve"> </w:t>
      </w:r>
      <w:r w:rsidRPr="00332AF1">
        <w:rPr>
          <w:rFonts w:ascii="ApparatSemiCond" w:hAnsi="ApparatSemiCond"/>
        </w:rPr>
        <w:t xml:space="preserve">Current Opinion in Psychiatry, 3(2), 128–132, [za:] Stefańska-Klar, R. (2024). </w:t>
      </w:r>
      <w:r w:rsidRPr="00332AF1">
        <w:rPr>
          <w:rFonts w:ascii="ApparatSemiCond" w:hAnsi="ApparatSemiCond"/>
          <w:i/>
          <w:iCs/>
        </w:rPr>
        <w:t>Autyzm…</w:t>
      </w:r>
      <w:r w:rsidRPr="00332AF1">
        <w:rPr>
          <w:rFonts w:ascii="ApparatSemiCond" w:hAnsi="ApparatSemiCond"/>
        </w:rPr>
        <w:t xml:space="preserve"> (</w:t>
      </w:r>
      <w:r w:rsidRPr="00332AF1">
        <w:rPr>
          <w:rFonts w:ascii="ApparatSemiCond" w:hAnsi="ApparatSemiCond"/>
          <w:i/>
          <w:iCs/>
        </w:rPr>
        <w:t>op. cit</w:t>
      </w:r>
      <w:r w:rsidRPr="00332AF1">
        <w:rPr>
          <w:rFonts w:ascii="ApparatSemiCond" w:hAnsi="ApparatSemiCond"/>
        </w:rPr>
        <w:t>)., s. 87.</w:t>
      </w:r>
    </w:p>
    <w:p w14:paraId="69E31C63" w14:textId="77777777" w:rsidR="00332AF1" w:rsidRPr="00332AF1" w:rsidRDefault="00332AF1" w:rsidP="00332AF1">
      <w:pPr>
        <w:pStyle w:val="Tekstprzypisudolnego"/>
        <w:rPr>
          <w:rFonts w:ascii="ApparatSemiCond" w:hAnsi="ApparatSemiCond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5673"/>
    <w:multiLevelType w:val="multilevel"/>
    <w:tmpl w:val="958C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919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80"/>
    <w:rsid w:val="000544B4"/>
    <w:rsid w:val="000841C2"/>
    <w:rsid w:val="00091CD2"/>
    <w:rsid w:val="000E5A7F"/>
    <w:rsid w:val="000F0549"/>
    <w:rsid w:val="00127105"/>
    <w:rsid w:val="00133765"/>
    <w:rsid w:val="0015153B"/>
    <w:rsid w:val="00180A79"/>
    <w:rsid w:val="00186928"/>
    <w:rsid w:val="00197478"/>
    <w:rsid w:val="001C6F62"/>
    <w:rsid w:val="001E7472"/>
    <w:rsid w:val="00222AAD"/>
    <w:rsid w:val="00261654"/>
    <w:rsid w:val="002A1121"/>
    <w:rsid w:val="00332AF1"/>
    <w:rsid w:val="003A7187"/>
    <w:rsid w:val="003B4928"/>
    <w:rsid w:val="004A7DAE"/>
    <w:rsid w:val="00524B85"/>
    <w:rsid w:val="00536621"/>
    <w:rsid w:val="005370F2"/>
    <w:rsid w:val="00605AC3"/>
    <w:rsid w:val="0061128B"/>
    <w:rsid w:val="0062356C"/>
    <w:rsid w:val="006730EF"/>
    <w:rsid w:val="00674192"/>
    <w:rsid w:val="006D06AC"/>
    <w:rsid w:val="006E53DB"/>
    <w:rsid w:val="00720EBF"/>
    <w:rsid w:val="007F78F8"/>
    <w:rsid w:val="00873EE3"/>
    <w:rsid w:val="008E7F69"/>
    <w:rsid w:val="00906011"/>
    <w:rsid w:val="00933BD6"/>
    <w:rsid w:val="00944D9E"/>
    <w:rsid w:val="00946FB4"/>
    <w:rsid w:val="00983B21"/>
    <w:rsid w:val="009B0F7E"/>
    <w:rsid w:val="009B77E2"/>
    <w:rsid w:val="00AB4AE0"/>
    <w:rsid w:val="00AC1BF1"/>
    <w:rsid w:val="00AC6F14"/>
    <w:rsid w:val="00AD5C59"/>
    <w:rsid w:val="00B43912"/>
    <w:rsid w:val="00B61A73"/>
    <w:rsid w:val="00B62346"/>
    <w:rsid w:val="00B7374D"/>
    <w:rsid w:val="00BA70FB"/>
    <w:rsid w:val="00C0475C"/>
    <w:rsid w:val="00C426A4"/>
    <w:rsid w:val="00C47326"/>
    <w:rsid w:val="00CD5F80"/>
    <w:rsid w:val="00CE59F7"/>
    <w:rsid w:val="00D01684"/>
    <w:rsid w:val="00D020B9"/>
    <w:rsid w:val="00DA4B96"/>
    <w:rsid w:val="00DA5DE1"/>
    <w:rsid w:val="00DC389F"/>
    <w:rsid w:val="00E91DE6"/>
    <w:rsid w:val="00EA4A87"/>
    <w:rsid w:val="00F00552"/>
    <w:rsid w:val="00F60935"/>
    <w:rsid w:val="00F85AE7"/>
    <w:rsid w:val="00FA0C20"/>
    <w:rsid w:val="00FA629F"/>
    <w:rsid w:val="00FD71C7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EF91"/>
  <w15:chartTrackingRefBased/>
  <w15:docId w15:val="{087B32DA-31DC-48B5-AB9C-B2C86A79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F80"/>
    <w:pPr>
      <w:spacing w:after="200" w:line="276" w:lineRule="auto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5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F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F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F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F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F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F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F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F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F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F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F8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qFormat/>
    <w:rsid w:val="00CD5F80"/>
    <w:pPr>
      <w:spacing w:after="0" w:line="240" w:lineRule="auto"/>
    </w:pPr>
    <w:rPr>
      <w:rFonts w:cs="Times New Roman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rsid w:val="00CD5F80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aliases w:val="FZ,Footnote Reference Number,Footnote symbol,Footnote reference number,note TESI,SUPERS,EN Footnote Reference,Footnote Reference Superscript,Odwołanie przypisu,Znak Znak11,Footnote number,Ref,de nota al pie,Odwo3anie przypisu"/>
    <w:uiPriority w:val="99"/>
    <w:qFormat/>
    <w:rsid w:val="00CD5F8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623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62346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74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47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3B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4928"/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3B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4928"/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stytutnowejkultury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cta.pl/choroby/neuroatypowosc-czym-jest-i-jak-ja-rozpoznac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d1719-65b4-4e87-bc82-1e3443dc318d" xsi:nil="true"/>
    <lcf76f155ced4ddcb4097134ff3c332f xmlns="1179d322-03c3-4f1a-8d54-b624ee7ebb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1BEC65481FC34E8146E88B814D3767" ma:contentTypeVersion="16" ma:contentTypeDescription="Utwórz nowy dokument." ma:contentTypeScope="" ma:versionID="943d0ef3d42f6cb1e126e48878a30bbd">
  <xsd:schema xmlns:xsd="http://www.w3.org/2001/XMLSchema" xmlns:xs="http://www.w3.org/2001/XMLSchema" xmlns:p="http://schemas.microsoft.com/office/2006/metadata/properties" xmlns:ns2="1179d322-03c3-4f1a-8d54-b624ee7ebb69" xmlns:ns3="4d3d1719-65b4-4e87-bc82-1e3443dc318d" targetNamespace="http://schemas.microsoft.com/office/2006/metadata/properties" ma:root="true" ma:fieldsID="9eb972f61e2057ff66b4aae7c60cb4de" ns2:_="" ns3:_="">
    <xsd:import namespace="1179d322-03c3-4f1a-8d54-b624ee7ebb69"/>
    <xsd:import namespace="4d3d1719-65b4-4e87-bc82-1e3443dc3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9d322-03c3-4f1a-8d54-b624ee7eb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7bcc573-6f71-46d2-ae0e-240124ec1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d1719-65b4-4e87-bc82-1e3443dc31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c96c21-f18c-42e3-b090-8b859b2dadbc}" ma:internalName="TaxCatchAll" ma:showField="CatchAllData" ma:web="4d3d1719-65b4-4e87-bc82-1e3443d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B1001-4B5E-4824-A47B-76DC6E8F3C0E}">
  <ds:schemaRefs>
    <ds:schemaRef ds:uri="http://schemas.microsoft.com/office/2006/metadata/properties"/>
    <ds:schemaRef ds:uri="http://schemas.microsoft.com/office/infopath/2007/PartnerControls"/>
    <ds:schemaRef ds:uri="4d3d1719-65b4-4e87-bc82-1e3443dc318d"/>
    <ds:schemaRef ds:uri="1179d322-03c3-4f1a-8d54-b624ee7ebb69"/>
  </ds:schemaRefs>
</ds:datastoreItem>
</file>

<file path=customXml/itemProps2.xml><?xml version="1.0" encoding="utf-8"?>
<ds:datastoreItem xmlns:ds="http://schemas.openxmlformats.org/officeDocument/2006/customXml" ds:itemID="{2C7996DA-E995-4688-8720-716DD2D64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55D07-0F59-4C47-B9FC-FC67A7DCF2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F3B091-C169-490E-B3A0-A110791BD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9d322-03c3-4f1a-8d54-b624ee7ebb69"/>
    <ds:schemaRef ds:uri="4d3d1719-65b4-4e87-bc82-1e3443dc3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Arczewska</dc:creator>
  <cp:keywords/>
  <dc:description/>
  <cp:lastModifiedBy>GOPS</cp:lastModifiedBy>
  <cp:revision>2</cp:revision>
  <dcterms:created xsi:type="dcterms:W3CDTF">2026-02-17T09:31:00Z</dcterms:created>
  <dcterms:modified xsi:type="dcterms:W3CDTF">2026-02-17T09:31:00Z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0x010100131BEC65481FC34E8146E88B814D3767</vt:lpwstr>
  </property>
  <property fmtid="{D5CDD505-2E9C-101B-9397-08002B2CF9AE}" pid="3" name="MediaServiceImageTags">
    <vt:lpwstr/>
  </property>
</Properties>
</file>